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3">
      <w:pPr>
        <w:numPr>
          <w:ilvl w:val="0"/>
          <w:numId w:val="2"/>
        </w:numPr>
        <w:pBdr>
          <w:top w:space="0" w:sz="0" w:val="nil"/>
          <w:left w:space="0" w:sz="0" w:val="nil"/>
          <w:bottom w:space="0" w:sz="0" w:val="nil"/>
          <w:right w:space="0" w:sz="0" w:val="nil"/>
          <w:between w:space="0" w:sz="0" w:val="nil"/>
        </w:pBdr>
        <w:spacing w:after="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 </w:t>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lineRule="auto"/>
        <w:ind w:left="720"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ind w:left="720" w:hanging="4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198.0" w:type="dxa"/>
        <w:jc w:val="left"/>
        <w:tblInd w:w="52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"Contracts Finder"</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Government’s publishing portal for public sector procurement opportunities; </w:t>
            </w:r>
          </w:p>
        </w:tc>
      </w:tr>
      <w:tr>
        <w:trPr>
          <w:cantSplit w:val="0"/>
          <w:trHeight w:val="20"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sized enterprises; </w:t>
            </w:r>
          </w:p>
        </w:tc>
      </w:tr>
      <w:tr>
        <w:trPr>
          <w:cantSplit w:val="0"/>
          <w:trHeight w:val="20" w:hRule="atLeast"/>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“Supply Chain Information Report Template”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at Annex 1 of this Schedule 12; and</w:t>
            </w:r>
          </w:p>
        </w:tc>
      </w:tr>
      <w:tr>
        <w:trPr>
          <w:cantSplit w:val="0"/>
          <w:trHeight w:val="20" w:hRule="atLeast"/>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rHeight w:val="20" w:hRule="atLeast"/>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10">
      <w:pPr>
        <w:numPr>
          <w:ilvl w:val="0"/>
          <w:numId w:val="2"/>
        </w:numPr>
        <w:pBdr>
          <w:top w:space="0" w:sz="0" w:val="nil"/>
          <w:left w:space="0" w:sz="0" w:val="nil"/>
          <w:bottom w:space="0" w:sz="0" w:val="nil"/>
          <w:right w:space="0" w:sz="0" w:val="nil"/>
          <w:between w:space="0" w:sz="0" w:val="nil"/>
        </w:pBdr>
        <w:spacing w:after="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Visibility of Sub-Contract Opportunities in the Supply Chain </w:t>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0" w:lineRule="auto"/>
        <w:ind w:left="720"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12">
      <w:pPr>
        <w:numPr>
          <w:ilvl w:val="1"/>
          <w:numId w:val="2"/>
        </w:numPr>
        <w:pBdr>
          <w:top w:space="0" w:sz="0" w:val="nil"/>
          <w:left w:space="0" w:sz="0" w:val="nil"/>
          <w:bottom w:space="0" w:sz="0" w:val="nil"/>
          <w:right w:space="0" w:sz="0" w:val="nil"/>
          <w:between w:space="0" w:sz="0" w:val="nil"/>
        </w:pBdr>
        <w:spacing w:after="0" w:lineRule="auto"/>
        <w:ind w:left="993" w:hanging="63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The Supplier shall:</w:t>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4">
      <w:pPr>
        <w:numPr>
          <w:ilvl w:val="2"/>
          <w:numId w:val="2"/>
        </w:numPr>
        <w:pBdr>
          <w:top w:space="0" w:sz="0" w:val="nil"/>
          <w:left w:space="0" w:sz="0" w:val="nil"/>
          <w:bottom w:space="0" w:sz="0" w:val="nil"/>
          <w:right w:space="0" w:sz="0" w:val="nil"/>
          <w:between w:space="0" w:sz="0" w:val="nil"/>
        </w:pBdr>
        <w:spacing w:after="0" w:lineRule="auto"/>
        <w:ind w:left="10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2.3,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5">
      <w:pPr>
        <w:numPr>
          <w:ilvl w:val="2"/>
          <w:numId w:val="2"/>
        </w:numPr>
        <w:pBdr>
          <w:top w:space="0" w:sz="0" w:val="nil"/>
          <w:left w:space="0" w:sz="0" w:val="nil"/>
          <w:bottom w:space="0" w:sz="0" w:val="nil"/>
          <w:right w:space="0" w:sz="0" w:val="nil"/>
          <w:between w:space="0" w:sz="0" w:val="nil"/>
        </w:pBdr>
        <w:spacing w:after="0" w:lineRule="auto"/>
        <w:ind w:left="10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6">
      <w:pPr>
        <w:numPr>
          <w:ilvl w:val="2"/>
          <w:numId w:val="2"/>
        </w:numPr>
        <w:pBdr>
          <w:top w:space="0" w:sz="0" w:val="nil"/>
          <w:left w:space="0" w:sz="0" w:val="nil"/>
          <w:bottom w:space="0" w:sz="0" w:val="nil"/>
          <w:right w:space="0" w:sz="0" w:val="nil"/>
          <w:between w:space="0" w:sz="0" w:val="nil"/>
        </w:pBdr>
        <w:spacing w:after="0" w:lineRule="auto"/>
        <w:ind w:left="1080" w:hanging="720"/>
        <w:rPr>
          <w:rFonts w:ascii="Arial" w:cs="Arial" w:eastAsia="Arial" w:hAnsi="Arial"/>
          <w:color w:val="000000"/>
          <w:sz w:val="24"/>
          <w:szCs w:val="24"/>
        </w:rPr>
      </w:pPr>
      <w:bookmarkStart w:colFirst="0" w:colLast="0" w:name="_gjdgxs" w:id="0"/>
      <w:bookmarkEnd w:id="0"/>
      <w:r w:rsidDel="00000000" w:rsidR="00000000" w:rsidRPr="00000000">
        <w:rPr>
          <w:rFonts w:ascii="Arial" w:cs="Arial" w:eastAsia="Arial" w:hAnsi="Arial"/>
          <w:color w:val="000000"/>
          <w:sz w:val="24"/>
          <w:szCs w:val="24"/>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7">
      <w:pPr>
        <w:numPr>
          <w:ilvl w:val="2"/>
          <w:numId w:val="2"/>
        </w:numPr>
        <w:pBdr>
          <w:top w:space="0" w:sz="0" w:val="nil"/>
          <w:left w:space="0" w:sz="0" w:val="nil"/>
          <w:bottom w:space="0" w:sz="0" w:val="nil"/>
          <w:right w:space="0" w:sz="0" w:val="nil"/>
          <w:between w:space="0" w:sz="0" w:val="nil"/>
        </w:pBdr>
        <w:spacing w:after="0" w:lineRule="auto"/>
        <w:ind w:left="10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8">
      <w:pPr>
        <w:numPr>
          <w:ilvl w:val="2"/>
          <w:numId w:val="2"/>
        </w:numPr>
        <w:pBdr>
          <w:top w:space="0" w:sz="0" w:val="nil"/>
          <w:left w:space="0" w:sz="0" w:val="nil"/>
          <w:bottom w:space="0" w:sz="0" w:val="nil"/>
          <w:right w:space="0" w:sz="0" w:val="nil"/>
          <w:between w:space="0" w:sz="0" w:val="nil"/>
        </w:pBdr>
        <w:spacing w:after="0" w:lineRule="auto"/>
        <w:ind w:left="10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promote Contracts Finder to its suppliers and encourage those organisations to register on Contracts Finder. </w:t>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Rule="auto"/>
        <w:ind w:left="108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0" w:lineRule="auto"/>
        <w:ind w:left="108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B">
      <w:pPr>
        <w:numPr>
          <w:ilvl w:val="1"/>
          <w:numId w:val="2"/>
        </w:numPr>
        <w:pBdr>
          <w:top w:space="0" w:sz="0" w:val="nil"/>
          <w:left w:space="0" w:sz="0" w:val="nil"/>
          <w:bottom w:space="0" w:sz="0" w:val="nil"/>
          <w:right w:space="0" w:sz="0" w:val="nil"/>
          <w:between w:space="0" w:sz="0" w:val="nil"/>
        </w:pBdr>
        <w:spacing w:after="0" w:lineRule="auto"/>
        <w:ind w:left="993" w:hanging="63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0" w:lineRule="auto"/>
        <w:ind w:left="993" w:hanging="633"/>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spacing w:after="0" w:lineRule="auto"/>
        <w:ind w:left="993" w:hanging="63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0" w:lineRule="auto"/>
        <w:ind w:left="993" w:hanging="633"/>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F">
      <w:pPr>
        <w:numPr>
          <w:ilvl w:val="1"/>
          <w:numId w:val="2"/>
        </w:numPr>
        <w:pBdr>
          <w:top w:space="0" w:sz="0" w:val="nil"/>
          <w:left w:space="0" w:sz="0" w:val="nil"/>
          <w:bottom w:space="0" w:sz="0" w:val="nil"/>
          <w:right w:space="0" w:sz="0" w:val="nil"/>
          <w:between w:space="0" w:sz="0" w:val="nil"/>
        </w:pBdr>
        <w:spacing w:after="0" w:lineRule="auto"/>
        <w:ind w:left="993" w:hanging="63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Paragraph 2.1, the Authority may by giving its prior Approval, agree that a Sub-Contract opportunity is not required to be advertised by the Supplier on Contracts Finder.  </w:t>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1">
      <w:pPr>
        <w:numPr>
          <w:ilvl w:val="0"/>
          <w:numId w:val="2"/>
        </w:numPr>
        <w:pBdr>
          <w:top w:space="0" w:sz="0" w:val="nil"/>
          <w:left w:space="0" w:sz="0" w:val="nil"/>
          <w:bottom w:space="0" w:sz="0" w:val="nil"/>
          <w:right w:space="0" w:sz="0" w:val="nil"/>
          <w:between w:space="0" w:sz="0" w:val="nil"/>
        </w:pBdr>
        <w:spacing w:after="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Visibility of Supply Chain Spend</w:t>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0" w:lineRule="auto"/>
        <w:ind w:left="720"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23">
      <w:pPr>
        <w:numPr>
          <w:ilvl w:val="1"/>
          <w:numId w:val="2"/>
        </w:numPr>
        <w:pBdr>
          <w:top w:space="0" w:sz="0" w:val="nil"/>
          <w:left w:space="0" w:sz="0" w:val="nil"/>
          <w:bottom w:space="0" w:sz="0" w:val="nil"/>
          <w:right w:space="0" w:sz="0" w:val="nil"/>
          <w:between w:space="0" w:sz="0" w:val="nil"/>
        </w:pBdr>
        <w:ind w:left="993" w:hanging="567"/>
        <w:rPr>
          <w:rFonts w:ascii="Arial" w:cs="Arial" w:eastAsia="Arial" w:hAnsi="Arial"/>
          <w:color w:val="000000"/>
          <w:sz w:val="24"/>
          <w:szCs w:val="24"/>
        </w:rPr>
      </w:pPr>
      <w:bookmarkStart w:colFirst="0" w:colLast="0" w:name="_30j0zll" w:id="1"/>
      <w:bookmarkEnd w:id="1"/>
      <w:r w:rsidDel="00000000" w:rsidR="00000000" w:rsidRPr="00000000">
        <w:rPr>
          <w:rFonts w:ascii="Arial" w:cs="Arial" w:eastAsia="Arial" w:hAnsi="Arial"/>
          <w:color w:val="000000"/>
          <w:sz w:val="24"/>
          <w:szCs w:val="24"/>
          <w:rtl w:val="0"/>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00000" w:rsidDel="00000000" w:rsidP="00000000" w:rsidRDefault="00000000" w:rsidRPr="00000000" w14:paraId="00000024">
      <w:pPr>
        <w:numPr>
          <w:ilvl w:val="0"/>
          <w:numId w:val="1"/>
        </w:numPr>
        <w:pBdr>
          <w:top w:space="0" w:sz="0" w:val="nil"/>
          <w:left w:space="0" w:sz="0" w:val="nil"/>
          <w:bottom w:space="0" w:sz="0" w:val="nil"/>
          <w:right w:space="0" w:sz="0" w:val="nil"/>
          <w:between w:space="0" w:sz="0" w:val="nil"/>
        </w:pBdr>
        <w:spacing w:after="0" w:line="360" w:lineRule="auto"/>
        <w:ind w:left="144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total contract revenue received directly on the Contract;</w:t>
      </w:r>
    </w:p>
    <w:p w:rsidR="00000000" w:rsidDel="00000000" w:rsidP="00000000" w:rsidRDefault="00000000" w:rsidRPr="00000000" w14:paraId="00000025">
      <w:pPr>
        <w:numPr>
          <w:ilvl w:val="0"/>
          <w:numId w:val="1"/>
        </w:numPr>
        <w:pBdr>
          <w:top w:space="0" w:sz="0" w:val="nil"/>
          <w:left w:space="0" w:sz="0" w:val="nil"/>
          <w:bottom w:space="0" w:sz="0" w:val="nil"/>
          <w:right w:space="0" w:sz="0" w:val="nil"/>
          <w:between w:space="0" w:sz="0" w:val="nil"/>
        </w:pBdr>
        <w:spacing w:after="0" w:line="36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total value of sub-contracted revenues under the Contract (including revenues for non-SMEs/non-VCSEs); and</w:t>
      </w:r>
    </w:p>
    <w:p w:rsidR="00000000" w:rsidDel="00000000" w:rsidP="00000000" w:rsidRDefault="00000000" w:rsidRPr="00000000" w14:paraId="00000026">
      <w:pPr>
        <w:numPr>
          <w:ilvl w:val="0"/>
          <w:numId w:val="1"/>
        </w:numPr>
        <w:pBdr>
          <w:top w:space="0" w:sz="0" w:val="nil"/>
          <w:left w:space="0" w:sz="0" w:val="nil"/>
          <w:bottom w:space="0" w:sz="0" w:val="nil"/>
          <w:right w:space="0" w:sz="0" w:val="nil"/>
          <w:between w:space="0" w:sz="0" w:val="nil"/>
        </w:pBdr>
        <w:spacing w:after="0" w:line="360" w:lineRule="auto"/>
        <w:ind w:left="144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total value of sub-contracted revenues to SMEs and VCSEs.</w:t>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0" w:line="36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numPr>
          <w:ilvl w:val="1"/>
          <w:numId w:val="2"/>
        </w:numPr>
        <w:pBdr>
          <w:top w:space="0" w:sz="0" w:val="nil"/>
          <w:left w:space="0" w:sz="0" w:val="nil"/>
          <w:bottom w:space="0" w:sz="0" w:val="nil"/>
          <w:right w:space="0" w:sz="0" w:val="nil"/>
          <w:between w:space="0" w:sz="0" w:val="nil"/>
        </w:pBdr>
        <w:spacing w:after="0" w:lineRule="auto"/>
        <w:ind w:left="993" w:hanging="63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ind w:left="993"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2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2D">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2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rFonts w:ascii="Arial" w:cs="Arial" w:eastAsia="Arial" w:hAnsi="Arial"/>
          <w:sz w:val="24"/>
          <w:szCs w:val="24"/>
        </w:rPr>
      </w:pPr>
      <w:r w:rsidDel="00000000" w:rsidR="00000000" w:rsidRPr="00000000">
        <w:rPr>
          <w:rFonts w:ascii="Arial" w:cs="Arial" w:eastAsia="Arial" w:hAnsi="Arial"/>
          <w:sz w:val="24"/>
          <w:szCs w:val="24"/>
        </w:rPr>
        <w:drawing>
          <wp:inline distB="0" distT="0" distL="114300" distR="114300">
            <wp:extent cx="1485900" cy="7239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485900" cy="723900"/>
                    </a:xfrm>
                    <a:prstGeom prst="rect"/>
                    <a:ln/>
                  </pic:spPr>
                </pic:pic>
              </a:graphicData>
            </a:graphic>
          </wp:inline>
        </w:drawing>
      </w:r>
      <w:r w:rsidDel="00000000" w:rsidR="00000000" w:rsidRPr="00000000">
        <w:rPr>
          <w:rtl w:val="0"/>
        </w:rPr>
      </w:r>
    </w:p>
    <w:p w:rsidR="00000000" w:rsidDel="00000000" w:rsidP="00000000" w:rsidRDefault="00000000" w:rsidRPr="00000000" w14:paraId="0000003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rPr>
          <w:rFonts w:ascii="Arial" w:cs="Arial" w:eastAsia="Arial" w:hAnsi="Arial"/>
          <w:sz w:val="24"/>
          <w:szCs w:val="24"/>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center"/>
      <w:rPr>
        <w:color w:val="000000"/>
      </w:rPr>
    </w:pPr>
    <w:r w:rsidDel="00000000" w:rsidR="00000000" w:rsidRPr="00000000">
      <w:rPr>
        <w:rtl w:val="0"/>
      </w:rPr>
    </w:r>
  </w:p>
  <w:p w:rsidR="00000000" w:rsidDel="00000000" w:rsidP="00000000" w:rsidRDefault="00000000" w:rsidRPr="00000000" w14:paraId="0000003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RM6285</w:t>
      <w:tab/>
      <w:t xml:space="preserve">                                           </w:t>
    </w:r>
  </w:p>
  <w:p w:rsidR="00000000" w:rsidDel="00000000" w:rsidP="00000000" w:rsidRDefault="00000000" w:rsidRPr="00000000" w14:paraId="00000038">
    <w:pP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rPr>
    </w:pPr>
    <w:r w:rsidDel="00000000" w:rsidR="00000000" w:rsidRPr="00000000">
      <w:rPr>
        <w:rFonts w:ascii="Arial" w:cs="Arial" w:eastAsia="Arial" w:hAnsi="Arial"/>
        <w:sz w:val="20"/>
        <w:szCs w:val="20"/>
        <w:rtl w:val="0"/>
      </w:rPr>
      <w:t xml:space="preserve">Model Version: v1.0</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Joint Schedule 12 (Supply Chain Visibility)</w:t>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Crown Copyright 20</w:t>
    </w:r>
    <w:r w:rsidDel="00000000" w:rsidR="00000000" w:rsidRPr="00000000">
      <w:rPr>
        <w:rFonts w:ascii="Arial" w:cs="Arial" w:eastAsia="Arial" w:hAnsi="Arial"/>
        <w:rtl w:val="0"/>
      </w:rPr>
      <w:t xml:space="preserve">23</w:t>
    </w: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